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823"/>
        <w:gridCol w:w="441"/>
        <w:gridCol w:w="5111"/>
      </w:tblGrid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gridSpan w:val="2"/>
            <w:tcW w:w="552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Министру сельского хозяйства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Приморского края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Бронцу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А.А.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  <w:r>
              <w:rPr>
                <w:rFonts w:ascii="Times New Roman" w:hAnsi="Times New Roman" w:eastAsia="Calibri" w:cs="Times New Roman"/>
                <w:sz w:val="16"/>
                <w:szCs w:val="16"/>
              </w:rPr>
            </w:r>
          </w:p>
        </w:tc>
      </w:tr>
      <w:tr>
        <w:trPr>
          <w:trHeight w:val="136"/>
        </w:trPr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>
          <w:trHeight w:val="130"/>
        </w:trPr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(ФИО)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(должность)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(наименование субъекта сельскохозяйственной деятельности)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W w:w="411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5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(муниципальный район)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pStyle w:val="617"/>
        <w:jc w:val="center"/>
        <w:spacing w:line="360" w:lineRule="auto"/>
        <w:rPr>
          <w:sz w:val="26"/>
          <w:szCs w:val="26"/>
        </w:rPr>
      </w:pPr>
      <w:r>
        <w:rPr>
          <w:sz w:val="28"/>
          <w:szCs w:val="28"/>
        </w:rPr>
        <w:t xml:space="preserve">Уважаемый Андрей Александрович!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4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8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562" w:type="dxa"/>
            <w:textDirection w:val="lrTb"/>
            <w:noWrap w:val="false"/>
          </w:tcPr>
          <w:p>
            <w:pPr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</w:tcBorders>
            <w:tcW w:w="8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(фамилия, имя, отчество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(при наличии) 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руководителя субъекта сельскохозяйственной деятельности)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даю гарантийное обязательство, подтверждающее, что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tbl>
      <w:tblPr>
        <w:tblStyle w:val="4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Borders>
              <w:bottom w:val="single" w:color="000000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18"/>
                <w:szCs w:val="18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</w:rPr>
              <w:t xml:space="preserve">(наименование субъекта сельскохозяйственной деятельности)</w:t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  <w:r>
              <w:rPr>
                <w:rFonts w:ascii="Times New Roman" w:hAnsi="Times New Roman" w:eastAsia="Calibri" w:cs="Times New Roman"/>
                <w:sz w:val="18"/>
                <w:szCs w:val="18"/>
              </w:rPr>
            </w:r>
          </w:p>
        </w:tc>
      </w:tr>
    </w:tbl>
    <w:p>
      <w:pPr>
        <w:pStyle w:val="617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617"/>
        <w:jc w:val="both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  <w:t xml:space="preserve">(далее - субъект сельскохозяйственной деятельности) 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соответствует критериям, установленным пунктом 4  и требованиям, установленным пунктом 5 Порядка</w:t>
      </w:r>
      <w:r>
        <w:rPr>
          <w:sz w:val="24"/>
          <w:szCs w:val="24"/>
        </w:rPr>
        <w:t xml:space="preserve"> </w:t>
      </w:r>
      <w:r>
        <w:rPr>
          <w:rFonts w:eastAsia="Calibri"/>
          <w:b w:val="0"/>
          <w:bCs w:val="0"/>
          <w:i w:val="0"/>
          <w:iCs w:val="0"/>
          <w:sz w:val="24"/>
          <w:szCs w:val="24"/>
          <w:lang w:eastAsia="en-US"/>
        </w:rPr>
        <w:t xml:space="preserve">предоставления субсидий из краевого бюджета</w:t>
      </w:r>
      <w:r>
        <w:rPr>
          <w:rFonts w:eastAsia="Calibri"/>
          <w:b w:val="0"/>
          <w:bCs w:val="0"/>
          <w:i w:val="0"/>
          <w:iCs w:val="0"/>
          <w:sz w:val="24"/>
          <w:szCs w:val="24"/>
          <w:lang w:eastAsia="en-US"/>
        </w:rPr>
        <w:t xml:space="preserve"> сельскохозяйственным товаропроизводителям Приморского края (за исключением граждан, ведущих личное подсобное хозяйство) на возмещение части затрат, связанных со стимулированием развития приоритетных подотраслей агропромышленного комплекса Приморского края</w:t>
      </w:r>
      <w:r>
        <w:rPr>
          <w:rFonts w:eastAsia="Calibri"/>
          <w:b w:val="0"/>
          <w:bCs w:val="0"/>
          <w:i w:val="0"/>
          <w:iCs w:val="0"/>
          <w:sz w:val="24"/>
          <w:szCs w:val="24"/>
          <w:lang w:eastAsia="en-US"/>
        </w:rPr>
        <w:t xml:space="preserve"> по соответствующему   направлению:  </w:t>
      </w:r>
      <w:r>
        <w:rPr>
          <w:rFonts w:eastAsia="Calibri"/>
          <w:b w:val="0"/>
          <w:bCs w:val="0"/>
          <w:i w:val="0"/>
          <w:iCs w:val="0"/>
          <w:sz w:val="24"/>
          <w:szCs w:val="24"/>
          <w:u w:val="none"/>
          <w:lang w:eastAsia="en-US"/>
        </w:rPr>
        <w:t xml:space="preserve">____________________________________________________________________________</w:t>
      </w:r>
      <w:r>
        <w:rPr>
          <w:rFonts w:eastAsia="Calibri"/>
          <w:b w:val="0"/>
          <w:bCs w:val="0"/>
          <w:i w:val="0"/>
          <w:iCs w:val="0"/>
          <w:sz w:val="24"/>
          <w:szCs w:val="24"/>
          <w:lang w:eastAsia="en-US"/>
        </w:rPr>
        <w:t xml:space="preserve">, </w:t>
      </w:r>
      <w:r>
        <w:rPr>
          <w:rFonts w:eastAsia="Calibri"/>
          <w:b w:val="0"/>
          <w:bCs w:val="0"/>
          <w:i w:val="0"/>
          <w:iCs w:val="0"/>
          <w:sz w:val="24"/>
          <w:szCs w:val="24"/>
          <w:lang w:eastAsia="en-US"/>
        </w:rPr>
        <w:t xml:space="preserve">в рамках постановления Правительства Приморского края от 25.08.2021 № 557-пп (далее – Порядок)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а также соблюдение иных требований, установленных Порядком, а именно: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8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  <w:t xml:space="preserve">осуществл</w:t>
      </w:r>
      <w:r>
        <w:rPr>
          <w:rFonts w:ascii="Times New Roman" w:hAnsi="Times New Roman" w:eastAsia="Calibri" w:cs="Times New Roman"/>
          <w:sz w:val="24"/>
          <w:szCs w:val="24"/>
        </w:rPr>
        <w:t xml:space="preserve">яет</w:t>
      </w:r>
      <w:r>
        <w:rPr>
          <w:rFonts w:ascii="Times New Roman" w:hAnsi="Times New Roman" w:eastAsia="Calibri" w:cs="Times New Roman"/>
          <w:sz w:val="24"/>
          <w:szCs w:val="24"/>
        </w:rPr>
        <w:t xml:space="preserve"> деятельность на территории Приморского края</w:t>
      </w:r>
      <w:r>
        <w:rPr>
          <w:rFonts w:ascii="Times New Roman" w:hAnsi="Times New Roman" w:eastAsia="Calibri" w:cs="Times New Roman"/>
          <w:sz w:val="24"/>
          <w:szCs w:val="24"/>
        </w:rPr>
        <w:t xml:space="preserve">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</w:rPr>
        <w:t xml:space="preserve">имеет в наличии</w:t>
      </w:r>
      <w:r>
        <w:rPr>
          <w:rFonts w:ascii="Times New Roman" w:hAnsi="Times New Roman" w:eastAsia="Calibri" w:cs="Times New Roman"/>
          <w:sz w:val="24"/>
          <w:szCs w:val="24"/>
        </w:rPr>
        <w:t xml:space="preserve"> заключенно</w:t>
      </w:r>
      <w:r>
        <w:rPr>
          <w:rFonts w:ascii="Times New Roman" w:hAnsi="Times New Roman" w:eastAsia="Calibri" w:cs="Times New Roman"/>
          <w:sz w:val="24"/>
          <w:szCs w:val="24"/>
        </w:rPr>
        <w:t xml:space="preserve">е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 между субъектом сельскохозяйственной деятельности и министерством соглашения о комплексном участии в государственной программе Приморского края по форме, утвержденной приказом министерства;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</w:r>
    </w:p>
    <w:p>
      <w:pPr>
        <w:pStyle w:val="617"/>
        <w:ind w:firstLine="708"/>
        <w:jc w:val="both"/>
        <w:spacing w:line="240" w:lineRule="auto"/>
        <w:rPr>
          <w:bCs w:val="0"/>
          <w:i w:val="0"/>
          <w:sz w:val="24"/>
          <w:szCs w:val="24"/>
          <w:highlight w:val="none"/>
        </w:rPr>
      </w:pPr>
      <w:r>
        <w:rPr>
          <w:i w:val="0"/>
          <w:iCs w:val="0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  <w:t xml:space="preserve">даю </w:t>
      </w:r>
      <w:r>
        <w:rPr>
          <w:rFonts w:ascii="Times New Roman" w:hAnsi="Times New Roman" w:eastAsia="Calibri" w:cs="Times New Roman"/>
          <w:sz w:val="24"/>
          <w:szCs w:val="24"/>
        </w:rPr>
        <w:t xml:space="preserve">согласие на осуществление</w:t>
      </w:r>
      <w:r>
        <w:rPr>
          <w:i w:val="0"/>
          <w:iCs w:val="0"/>
          <w:sz w:val="24"/>
          <w:szCs w:val="24"/>
        </w:rPr>
        <w:t xml:space="preserve"> министерством сельского хозяйства Приморского края </w:t>
      </w:r>
      <w:r>
        <w:rPr>
          <w:i w:val="0"/>
          <w:iCs w:val="0"/>
          <w:sz w:val="24"/>
          <w:szCs w:val="24"/>
        </w:rPr>
        <w:t xml:space="preserve">проверок соблюдения субъектом сельскохозяйственной деятельности условий и порядка предоставления субсидий, в том числе в части достижения результатов предоставления субсидий, а также органами государственного финансового контроля проверок в соответствии со </w:t>
      </w:r>
      <w:r>
        <w:rPr>
          <w:i w:val="0"/>
          <w:iCs w:val="0"/>
          <w:sz w:val="24"/>
          <w:szCs w:val="24"/>
        </w:rPr>
        <w:t xml:space="preserve">статьями 268.1 и 269.2 Бюджетного кодекса Российской Федерации;</w:t>
      </w:r>
      <w:r>
        <w:rPr>
          <w:i w:val="0"/>
          <w:iCs w:val="0"/>
          <w:sz w:val="24"/>
          <w:szCs w:val="24"/>
        </w:rPr>
      </w:r>
      <w:r>
        <w:rPr>
          <w:bCs w:val="0"/>
          <w:i w:val="0"/>
          <w:sz w:val="24"/>
          <w:szCs w:val="24"/>
          <w:highlight w:val="none"/>
        </w:rPr>
      </w:r>
    </w:p>
    <w:p>
      <w:pPr>
        <w:pStyle w:val="617"/>
        <w:ind w:left="0" w:right="0" w:firstLine="708"/>
        <w:jc w:val="both"/>
        <w:spacing w:line="240" w:lineRule="auto"/>
        <w:rPr>
          <w:rFonts w:eastAsia="Calibri"/>
          <w:b w:val="0"/>
          <w:bCs w:val="0"/>
          <w:iCs w:val="0"/>
          <w:sz w:val="24"/>
          <w:szCs w:val="24"/>
        </w:rPr>
      </w:pPr>
      <w:r>
        <w:rPr>
          <w:sz w:val="24"/>
          <w:szCs w:val="24"/>
        </w:rPr>
        <w:t xml:space="preserve">согласие на осуществление </w:t>
      </w:r>
      <w:r>
        <w:rPr>
          <w:rFonts w:eastAsia="Calibri"/>
          <w:sz w:val="24"/>
          <w:szCs w:val="24"/>
          <w:lang w:eastAsia="en-US"/>
        </w:rPr>
        <w:t xml:space="preserve">сельскохозяйственного производства на территории Приморского края </w:t>
      </w:r>
      <w:r>
        <w:rPr>
          <w:rFonts w:eastAsia="Calibri"/>
          <w:sz w:val="24"/>
          <w:szCs w:val="24"/>
          <w:lang w:eastAsia="en-US"/>
        </w:rPr>
        <w:t xml:space="preserve">в течение </w:t>
      </w:r>
      <w:r>
        <w:rPr>
          <w:rFonts w:eastAsia="Calibri"/>
          <w:b w:val="0"/>
          <w:bCs w:val="0"/>
          <w:sz w:val="24"/>
          <w:szCs w:val="24"/>
          <w:lang w:eastAsia="en-US"/>
        </w:rPr>
        <w:t xml:space="preserve">не менее трех лет начиная со дня получения субсидии;</w:t>
      </w:r>
      <w:r>
        <w:rPr>
          <w:rFonts w:eastAsia="Calibri"/>
          <w:i w:val="0"/>
          <w:iCs w:val="0"/>
          <w:sz w:val="24"/>
          <w:szCs w:val="24"/>
          <w:lang w:eastAsia="en-US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eastAsia="Calibri"/>
          <w:b w:val="0"/>
          <w:bCs w:val="0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у субъекта сельскохозяйственной деятельности </w:t>
      </w:r>
      <w:r>
        <w:rPr>
          <w:rFonts w:ascii="Times New Roman" w:hAnsi="Times New Roman" w:eastAsia="Calibri" w:cs="Times New Roman"/>
          <w:sz w:val="24"/>
          <w:szCs w:val="24"/>
        </w:rPr>
        <w:t xml:space="preserve">отсутствует </w:t>
      </w:r>
      <w:r>
        <w:rPr>
          <w:rFonts w:ascii="Times New Roman" w:hAnsi="Times New Roman" w:eastAsia="Calibri" w:cs="Times New Roman"/>
          <w:sz w:val="24"/>
          <w:szCs w:val="24"/>
        </w:rPr>
        <w:t xml:space="preserve">задолженност</w:t>
      </w:r>
      <w:r>
        <w:rPr>
          <w:rFonts w:ascii="Times New Roman" w:hAnsi="Times New Roman" w:eastAsia="Calibri" w:cs="Times New Roman"/>
          <w:sz w:val="24"/>
          <w:szCs w:val="24"/>
        </w:rPr>
        <w:t xml:space="preserve">ь</w:t>
      </w:r>
      <w:r>
        <w:rPr>
          <w:rFonts w:ascii="Times New Roman" w:hAnsi="Times New Roman" w:eastAsia="Calibri" w:cs="Times New Roman"/>
          <w:sz w:val="24"/>
          <w:szCs w:val="24"/>
        </w:rPr>
        <w:t xml:space="preserve">, возникш</w:t>
      </w:r>
      <w:r>
        <w:rPr>
          <w:rFonts w:ascii="Times New Roman" w:hAnsi="Times New Roman" w:eastAsia="Calibri" w:cs="Times New Roman"/>
          <w:sz w:val="24"/>
          <w:szCs w:val="24"/>
        </w:rPr>
        <w:t xml:space="preserve">ая</w:t>
      </w:r>
      <w:r>
        <w:rPr>
          <w:rFonts w:ascii="Times New Roman" w:hAnsi="Times New Roman" w:eastAsia="Calibri" w:cs="Times New Roman"/>
          <w:sz w:val="24"/>
          <w:szCs w:val="24"/>
        </w:rPr>
        <w:t xml:space="preserve"> в связи с неисполнением требования о возврате субсидии в краевой бюджет, в порядке, установленном пунктом 22 Порядка;</w:t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ind w:left="0" w:right="0" w:firstLine="709"/>
        <w:jc w:val="both"/>
        <w:spacing w:after="0" w:line="240" w:lineRule="auto"/>
        <w:rPr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 субъекта сельскохозяйственной деятельности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етной системы Российской Федерации;</w:t>
      </w:r>
      <w:r>
        <w:rPr>
          <w:sz w:val="24"/>
          <w:szCs w:val="24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rFonts w:eastAsia="Calibri"/>
          <w:sz w:val="24"/>
          <w:szCs w:val="24"/>
          <w:lang w:eastAsia="en-US"/>
        </w:rPr>
      </w:r>
      <w:r>
        <w:rPr>
          <w:sz w:val="24"/>
          <w:szCs w:val="24"/>
        </w:rPr>
        <w:t xml:space="preserve">у субъекта сельскохозяйственной деятельности должна отсутствовать просроченная задолженность по возврату в краевой бюджет субсидий, бюджетных инвестиций, предоставленных в том числе в соответствии с иными правовыми актами, и иная просроченная (неурегулирова</w:t>
      </w:r>
      <w:r>
        <w:rPr>
          <w:sz w:val="24"/>
          <w:szCs w:val="24"/>
        </w:rPr>
        <w:t xml:space="preserve">нная) задолженность по денежным обязательствам перед Приморским краем;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8"/>
        <w:jc w:val="both"/>
        <w:spacing w:line="240" w:lineRule="auto"/>
        <w:rPr>
          <w:rFonts w:eastAsia="Calibri"/>
          <w:bCs w:val="0"/>
          <w:i w:val="0"/>
          <w:sz w:val="24"/>
          <w:szCs w:val="24"/>
        </w:rPr>
      </w:pPr>
      <w:r>
        <w:rPr>
          <w:rFonts w:eastAsia="Calibri"/>
          <w:bCs w:val="0"/>
          <w:i w:val="0"/>
          <w:sz w:val="24"/>
          <w:szCs w:val="24"/>
          <w:lang w:eastAsia="en-US"/>
        </w:rPr>
      </w:r>
      <w:r>
        <w:rPr>
          <w:rFonts w:eastAsia="Calibri"/>
          <w:bCs w:val="0"/>
          <w:i w:val="0"/>
          <w:sz w:val="24"/>
          <w:szCs w:val="24"/>
          <w:lang w:eastAsia="en-US"/>
        </w:rPr>
        <w:t xml:space="preserve">субъект сельскохозяйственной деятельности - юридическое лицо не находится в процессе реорганизации (за исключением реорганизации в форме присоединения к субъекту сельскохозяйственной деятельности другого юридического лица), ликвидации, в отношении </w:t>
      </w:r>
      <w:r>
        <w:rPr>
          <w:rFonts w:eastAsia="Calibri"/>
          <w:bCs w:val="0"/>
          <w:i w:val="0"/>
          <w:sz w:val="24"/>
          <w:szCs w:val="24"/>
          <w:lang w:eastAsia="en-US"/>
        </w:rPr>
        <w:t xml:space="preserve">них не введена процедура банкротства, деятельность организации не приостановлена в порядке, предусмотренном законодательством Российской Федерации, а индивидуальный предприниматель не прекратил деятельность в качестве индивидуального предпринимателя</w:t>
      </w:r>
      <w:r>
        <w:rPr>
          <w:rFonts w:eastAsia="Calibri"/>
          <w:bCs w:val="0"/>
          <w:i w:val="0"/>
          <w:sz w:val="24"/>
          <w:szCs w:val="24"/>
          <w:lang w:eastAsia="en-US"/>
        </w:rPr>
        <w:t xml:space="preserve">;</w:t>
      </w:r>
      <w:r>
        <w:rPr>
          <w:rFonts w:eastAsia="Calibri"/>
          <w:bCs w:val="0"/>
          <w:i w:val="0"/>
          <w:sz w:val="24"/>
          <w:szCs w:val="24"/>
          <w:lang w:eastAsia="en-US"/>
        </w:rPr>
      </w:r>
      <w:r>
        <w:rPr>
          <w:rFonts w:eastAsia="Calibri"/>
          <w:bCs w:val="0"/>
          <w:i w:val="0"/>
          <w:sz w:val="24"/>
          <w:szCs w:val="24"/>
          <w:lang w:eastAsia="en-US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субъект сельскохозяйственной деятельности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</w:t>
      </w:r>
      <w:r>
        <w:rPr>
          <w:sz w:val="24"/>
          <w:szCs w:val="24"/>
          <w:highlight w:val="none"/>
        </w:rPr>
        <w:t xml:space="preserve">рств и территорий, использующих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</w:t>
      </w:r>
      <w:r>
        <w:rPr>
          <w:sz w:val="24"/>
          <w:szCs w:val="24"/>
          <w:highlight w:val="none"/>
        </w:rPr>
        <w:t xml:space="preserve">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</w:t>
      </w:r>
      <w:r>
        <w:rPr>
          <w:sz w:val="24"/>
          <w:szCs w:val="24"/>
          <w:highlight w:val="none"/>
        </w:rPr>
        <w:t xml:space="preserve">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</w:t>
      </w:r>
      <w:r>
        <w:rPr>
          <w:sz w:val="24"/>
          <w:szCs w:val="24"/>
          <w:highlight w:val="none"/>
        </w:rPr>
        <w:t xml:space="preserve">угих российских юридических лиц, реализованное через участие в капитале указанных публичных акционерных обществ;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субъект сельскохозяйственной деятельности не получал средства из краевого бюджета на основании иных нормативных правовых актов на цели, указанные в пункте 2 настоящего Порядка;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субъект сельскохозяйственной деятельности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субъект сельскохозяйственной деятельности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</w:t>
      </w:r>
      <w:r>
        <w:rPr>
          <w:sz w:val="24"/>
          <w:szCs w:val="24"/>
          <w:highlight w:val="none"/>
        </w:rPr>
        <w:t xml:space="preserve"> и физических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8"/>
        <w:jc w:val="both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субъект сельскохозяйственной деятельности не является иностранным агентом в соответствии с Федеральным законом от 14 июля 2022 года N 255-ФЗ «О контроле за деятельностью лиц, находящихся под иностранным влиянием»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none"/>
        </w:rPr>
      </w:r>
    </w:p>
    <w:tbl>
      <w:tblPr>
        <w:tblW w:w="963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927"/>
        <w:gridCol w:w="181"/>
        <w:gridCol w:w="1768"/>
        <w:gridCol w:w="354"/>
        <w:gridCol w:w="3401"/>
      </w:tblGrid>
      <w:tr>
        <w:trPr>
          <w:trHeight w:val="880"/>
        </w:trPr>
        <w:tc>
          <w:tcPr>
            <w:tcBorders>
              <w:bottom w:val="single" w:color="000000" w:sz="4" w:space="0"/>
            </w:tcBorders>
            <w:tcW w:w="3927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Руководитель субъекта сельскохозяйственной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r>
          </w:p>
          <w:p>
            <w:pPr>
              <w:jc w:val="both"/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tcW w:w="5704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/>
            <w:bookmarkStart w:id="0" w:name="undefined"/>
            <w:r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right"/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right"/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top w:val="single" w:color="000000" w:sz="4" w:space="0"/>
            </w:tcBorders>
            <w:tcW w:w="3927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(наименование должности)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181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1768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W w:w="35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фамилия, имя, отчество (при наличии)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56"/>
        </w:trPr>
        <w:tc>
          <w:tcPr>
            <w:tcW w:w="3927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М.П.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jc w:val="right"/>
              <w:spacing w:after="0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(при наличии печати)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gridSpan w:val="2"/>
            <w:tcW w:w="1949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755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"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617"/>
        <w:rPr>
          <w:sz w:val="18"/>
          <w:szCs w:val="18"/>
        </w:rPr>
      </w:pPr>
      <w:r>
        <w:rPr>
          <w:sz w:val="18"/>
          <w:szCs w:val="18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567" w:right="851" w:bottom="567" w:left="1418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link w:val="617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WW8Num1z0"/>
    <w:next w:val="618"/>
    <w:link w:val="617"/>
    <w:rPr>
      <w:rFonts w:ascii="Symbol" w:hAnsi="Symbol" w:cs="Symbol"/>
    </w:rPr>
  </w:style>
  <w:style w:type="character" w:styleId="619">
    <w:name w:val="WW8Num1z1"/>
    <w:next w:val="619"/>
    <w:link w:val="617"/>
    <w:rPr>
      <w:rFonts w:ascii="Courier New" w:hAnsi="Courier New" w:cs="Courier New"/>
    </w:rPr>
  </w:style>
  <w:style w:type="character" w:styleId="620">
    <w:name w:val="WW8Num1z2"/>
    <w:next w:val="620"/>
    <w:link w:val="617"/>
    <w:rPr>
      <w:rFonts w:ascii="Wingdings" w:hAnsi="Wingdings" w:cs="Wingdings"/>
    </w:rPr>
  </w:style>
  <w:style w:type="character" w:styleId="621">
    <w:name w:val="Основной шрифт абзаца"/>
    <w:next w:val="621"/>
    <w:link w:val="617"/>
  </w:style>
  <w:style w:type="character" w:styleId="622">
    <w:name w:val="Текст сноски Знак"/>
    <w:basedOn w:val="621"/>
    <w:next w:val="622"/>
    <w:link w:val="617"/>
  </w:style>
  <w:style w:type="character" w:styleId="623">
    <w:name w:val="Символ сноски"/>
    <w:next w:val="623"/>
    <w:link w:val="617"/>
    <w:rPr>
      <w:vertAlign w:val="superscript"/>
    </w:rPr>
  </w:style>
  <w:style w:type="paragraph" w:styleId="624">
    <w:name w:val="Заголовок"/>
    <w:basedOn w:val="617"/>
    <w:next w:val="625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5">
    <w:name w:val="Основной текст"/>
    <w:basedOn w:val="617"/>
    <w:next w:val="625"/>
    <w:link w:val="617"/>
    <w:pPr>
      <w:spacing w:before="0" w:after="140" w:line="276" w:lineRule="auto"/>
    </w:pPr>
  </w:style>
  <w:style w:type="paragraph" w:styleId="626">
    <w:name w:val="Список"/>
    <w:basedOn w:val="625"/>
    <w:next w:val="626"/>
    <w:link w:val="617"/>
    <w:rPr>
      <w:rFonts w:ascii="PT Astra Serif" w:hAnsi="PT Astra Serif" w:cs="Noto Sans Devanagari"/>
    </w:rPr>
  </w:style>
  <w:style w:type="paragraph" w:styleId="627">
    <w:name w:val="Название"/>
    <w:basedOn w:val="617"/>
    <w:next w:val="627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8">
    <w:name w:val="Указатель"/>
    <w:basedOn w:val="617"/>
    <w:next w:val="628"/>
    <w:link w:val="617"/>
    <w:pPr>
      <w:suppressLineNumbers/>
    </w:pPr>
    <w:rPr>
      <w:rFonts w:ascii="PT Astra Serif" w:hAnsi="PT Astra Serif" w:cs="Noto Sans Devanagari"/>
    </w:rPr>
  </w:style>
  <w:style w:type="paragraph" w:styleId="629">
    <w:name w:val="Текст выноски"/>
    <w:basedOn w:val="617"/>
    <w:next w:val="629"/>
    <w:link w:val="617"/>
    <w:rPr>
      <w:rFonts w:ascii="Tahoma" w:hAnsi="Tahoma" w:cs="Tahoma"/>
      <w:sz w:val="16"/>
      <w:szCs w:val="16"/>
    </w:rPr>
  </w:style>
  <w:style w:type="paragraph" w:styleId="630">
    <w:name w:val="Сноска"/>
    <w:basedOn w:val="617"/>
    <w:next w:val="630"/>
    <w:link w:val="617"/>
    <w:rPr>
      <w:sz w:val="20"/>
      <w:szCs w:val="20"/>
    </w:rPr>
  </w:style>
  <w:style w:type="paragraph" w:styleId="631">
    <w:name w:val="ConsPlusNormal"/>
    <w:next w:val="631"/>
    <w:link w:val="617"/>
    <w:pPr>
      <w:widowControl w:val="off"/>
    </w:pPr>
    <w:rPr>
      <w:rFonts w:ascii="Calibri" w:hAnsi="Calibri" w:eastAsia="Times New Roman" w:cs="Calibri"/>
      <w:color w:val="auto"/>
      <w:sz w:val="22"/>
      <w:szCs w:val="20"/>
      <w:lang w:val="ru-RU" w:eastAsia="zh-CN" w:bidi="ar-SA"/>
    </w:rPr>
  </w:style>
  <w:style w:type="character" w:styleId="771" w:default="1">
    <w:name w:val="Default Paragraph Font"/>
    <w:uiPriority w:val="1"/>
    <w:semiHidden/>
    <w:unhideWhenUsed/>
  </w:style>
  <w:style w:type="numbering" w:styleId="77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департамента</dc:title>
  <dc:creator>Kalashnikova_SA</dc:creator>
  <cp:revision>27</cp:revision>
  <dcterms:created xsi:type="dcterms:W3CDTF">2018-01-19T00:56:00Z</dcterms:created>
  <dcterms:modified xsi:type="dcterms:W3CDTF">2024-03-29T04:08:04Z</dcterms:modified>
</cp:coreProperties>
</file>